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0"/>
        <w:rPr>
          <w:rFonts w:hint="eastAsia" w:ascii="黑体" w:hAnsi="黑体" w:eastAsia="黑体" w:cs="黑体"/>
          <w:kern w:val="0"/>
          <w:sz w:val="32"/>
          <w:szCs w:val="32"/>
        </w:rPr>
      </w:pPr>
      <w:r>
        <w:rPr>
          <w:rFonts w:hint="eastAsia" w:ascii="黑体" w:hAnsi="黑体" w:eastAsia="黑体" w:cs="黑体"/>
          <w:kern w:val="0"/>
          <w:sz w:val="32"/>
          <w:szCs w:val="32"/>
        </w:rPr>
        <w:t>附件</w:t>
      </w:r>
    </w:p>
    <w:p>
      <w:pPr>
        <w:spacing w:after="120" w:afterLines="50"/>
        <w:jc w:val="center"/>
        <w:rPr>
          <w:rFonts w:hint="default" w:ascii="Times New Roman" w:hAnsi="Times New Roman" w:eastAsia="方正小标宋简体" w:cs="Times New Roman"/>
          <w:b/>
          <w:sz w:val="36"/>
          <w:szCs w:val="36"/>
        </w:rPr>
      </w:pPr>
      <w:r>
        <w:rPr>
          <w:rFonts w:hint="default" w:ascii="Times New Roman" w:hAnsi="Times New Roman" w:eastAsia="方正小标宋简体" w:cs="Times New Roman"/>
          <w:sz w:val="36"/>
          <w:szCs w:val="36"/>
          <w:lang w:val="en-US" w:eastAsia="zh-CN"/>
        </w:rPr>
        <w:t>7</w:t>
      </w:r>
      <w:r>
        <w:rPr>
          <w:rFonts w:hint="default" w:ascii="Times New Roman" w:hAnsi="Times New Roman" w:eastAsia="方正小标宋简体" w:cs="Times New Roman"/>
          <w:sz w:val="36"/>
          <w:szCs w:val="36"/>
        </w:rPr>
        <w:t>项强制性国家标准主要内容等一览表</w:t>
      </w:r>
    </w:p>
    <w:tbl>
      <w:tblPr>
        <w:tblStyle w:val="2"/>
        <w:tblW w:w="14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70"/>
        <w:gridCol w:w="1842"/>
        <w:gridCol w:w="5888"/>
        <w:gridCol w:w="1920"/>
        <w:gridCol w:w="111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spacing w:line="288" w:lineRule="auto"/>
              <w:jc w:val="center"/>
              <w:rPr>
                <w:rFonts w:eastAsia="仿宋"/>
                <w:b/>
                <w:bCs/>
                <w:kern w:val="0"/>
                <w:szCs w:val="21"/>
              </w:rPr>
            </w:pPr>
            <w:bookmarkStart w:id="1" w:name="_GoBack"/>
            <w:bookmarkEnd w:id="1"/>
            <w:r>
              <w:rPr>
                <w:rFonts w:eastAsia="仿宋"/>
                <w:b/>
                <w:bCs/>
                <w:kern w:val="0"/>
                <w:szCs w:val="21"/>
              </w:rPr>
              <w:t>序号</w:t>
            </w:r>
          </w:p>
        </w:tc>
        <w:tc>
          <w:tcPr>
            <w:tcW w:w="1170" w:type="dxa"/>
            <w:noWrap w:val="0"/>
            <w:vAlign w:val="center"/>
          </w:tcPr>
          <w:p>
            <w:pPr>
              <w:widowControl/>
              <w:spacing w:line="288" w:lineRule="auto"/>
              <w:jc w:val="center"/>
              <w:rPr>
                <w:rFonts w:eastAsia="仿宋"/>
                <w:b/>
                <w:bCs/>
                <w:kern w:val="0"/>
                <w:szCs w:val="21"/>
              </w:rPr>
            </w:pPr>
            <w:r>
              <w:rPr>
                <w:rFonts w:eastAsia="仿宋"/>
                <w:b/>
                <w:bCs/>
                <w:kern w:val="0"/>
                <w:szCs w:val="21"/>
              </w:rPr>
              <w:t>计划编号</w:t>
            </w:r>
          </w:p>
        </w:tc>
        <w:tc>
          <w:tcPr>
            <w:tcW w:w="1842" w:type="dxa"/>
            <w:noWrap w:val="0"/>
            <w:vAlign w:val="center"/>
          </w:tcPr>
          <w:p>
            <w:pPr>
              <w:widowControl/>
              <w:spacing w:line="288" w:lineRule="auto"/>
              <w:jc w:val="center"/>
              <w:rPr>
                <w:rFonts w:eastAsia="仿宋"/>
                <w:b/>
                <w:bCs/>
                <w:kern w:val="0"/>
                <w:szCs w:val="21"/>
              </w:rPr>
            </w:pPr>
            <w:r>
              <w:rPr>
                <w:rFonts w:eastAsia="仿宋"/>
                <w:b/>
                <w:bCs/>
                <w:kern w:val="0"/>
                <w:szCs w:val="21"/>
              </w:rPr>
              <w:t>标准名称</w:t>
            </w:r>
          </w:p>
        </w:tc>
        <w:tc>
          <w:tcPr>
            <w:tcW w:w="5888" w:type="dxa"/>
            <w:noWrap w:val="0"/>
            <w:tcMar>
              <w:left w:w="28" w:type="dxa"/>
              <w:right w:w="28" w:type="dxa"/>
            </w:tcMar>
            <w:vAlign w:val="center"/>
          </w:tcPr>
          <w:p>
            <w:pPr>
              <w:spacing w:line="288" w:lineRule="auto"/>
              <w:jc w:val="center"/>
              <w:rPr>
                <w:rFonts w:eastAsia="仿宋"/>
                <w:b/>
                <w:bCs/>
                <w:szCs w:val="21"/>
              </w:rPr>
            </w:pPr>
            <w:r>
              <w:rPr>
                <w:rFonts w:ascii="宋体" w:hAnsi="宋体"/>
                <w:b/>
                <w:szCs w:val="21"/>
              </w:rPr>
              <w:t>标准主要内容</w:t>
            </w:r>
          </w:p>
        </w:tc>
        <w:tc>
          <w:tcPr>
            <w:tcW w:w="1920" w:type="dxa"/>
            <w:noWrap w:val="0"/>
            <w:vAlign w:val="center"/>
          </w:tcPr>
          <w:p>
            <w:pPr>
              <w:spacing w:line="288" w:lineRule="auto"/>
              <w:jc w:val="center"/>
              <w:rPr>
                <w:rFonts w:eastAsia="仿宋"/>
                <w:b/>
                <w:bCs/>
                <w:szCs w:val="21"/>
              </w:rPr>
            </w:pPr>
            <w:r>
              <w:rPr>
                <w:rFonts w:eastAsia="仿宋"/>
                <w:b/>
                <w:bCs/>
                <w:szCs w:val="21"/>
              </w:rPr>
              <w:t>代替标准</w:t>
            </w:r>
          </w:p>
        </w:tc>
        <w:tc>
          <w:tcPr>
            <w:tcW w:w="1110" w:type="dxa"/>
            <w:noWrap w:val="0"/>
            <w:vAlign w:val="center"/>
          </w:tcPr>
          <w:p>
            <w:pPr>
              <w:widowControl/>
              <w:spacing w:line="288" w:lineRule="auto"/>
              <w:jc w:val="center"/>
              <w:rPr>
                <w:rFonts w:eastAsia="仿宋"/>
                <w:b/>
                <w:bCs/>
                <w:kern w:val="0"/>
                <w:szCs w:val="21"/>
              </w:rPr>
            </w:pPr>
            <w:r>
              <w:rPr>
                <w:rFonts w:eastAsia="仿宋"/>
                <w:b/>
                <w:bCs/>
                <w:kern w:val="0"/>
                <w:szCs w:val="21"/>
              </w:rPr>
              <w:t>采标情况</w:t>
            </w:r>
          </w:p>
        </w:tc>
        <w:tc>
          <w:tcPr>
            <w:tcW w:w="1966" w:type="dxa"/>
            <w:noWrap w:val="0"/>
            <w:vAlign w:val="center"/>
          </w:tcPr>
          <w:p>
            <w:pPr>
              <w:widowControl/>
              <w:spacing w:line="288" w:lineRule="auto"/>
              <w:jc w:val="center"/>
              <w:rPr>
                <w:rFonts w:eastAsia="仿宋"/>
                <w:b/>
                <w:bCs/>
                <w:kern w:val="0"/>
                <w:szCs w:val="21"/>
              </w:rPr>
            </w:pPr>
            <w:r>
              <w:rPr>
                <w:rFonts w:eastAsia="仿宋"/>
                <w:b/>
                <w:bCs/>
                <w:kern w:val="0"/>
                <w:szCs w:val="21"/>
              </w:rPr>
              <w:t>建议实施日期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both"/>
              <w:rPr>
                <w:rFonts w:hint="eastAsia" w:ascii="仿宋_GB2312" w:hAnsi="仿宋_GB2312" w:eastAsia="仿宋_GB2312" w:cs="仿宋_GB2312"/>
                <w:color w:val="auto"/>
                <w:kern w:val="0"/>
                <w:sz w:val="20"/>
                <w:szCs w:val="20"/>
                <w:highlight w:val="none"/>
                <w:lang w:val="en-US" w:eastAsia="zh-CN" w:bidi="ar-SA"/>
              </w:rPr>
            </w:pPr>
            <w:bookmarkStart w:id="0" w:name="_Hlk66863149"/>
          </w:p>
        </w:tc>
        <w:tc>
          <w:tcPr>
            <w:tcW w:w="1170" w:type="dxa"/>
            <w:noWrap w:val="0"/>
            <w:vAlign w:val="center"/>
          </w:tcPr>
          <w:p>
            <w:pPr>
              <w:pStyle w:val="4"/>
              <w:tabs>
                <w:tab w:val="center" w:pos="4201"/>
                <w:tab w:val="right" w:leader="dot" w:pos="9298"/>
              </w:tabs>
              <w:ind w:firstLine="24" w:firstLineChars="12"/>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20190075-Q-339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家具中有害物质限量</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本文件规定了家具中有害物质的术语和定义、要求和试验方法及检验结果判定。</w:t>
            </w:r>
          </w:p>
          <w:p>
            <w:pPr>
              <w:pStyle w:val="4"/>
              <w:tabs>
                <w:tab w:val="center" w:pos="4201"/>
                <w:tab w:val="right" w:leader="dot" w:pos="9298"/>
              </w:tabs>
              <w:ind w:firstLine="400" w:firstLineChars="20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本文件适用于各类家具产品。</w:t>
            </w:r>
          </w:p>
        </w:tc>
        <w:tc>
          <w:tcPr>
            <w:tcW w:w="1920" w:type="dxa"/>
            <w:noWrap w:val="0"/>
            <w:vAlign w:val="center"/>
          </w:tcPr>
          <w:p>
            <w:pPr>
              <w:adjustRightInd w:val="0"/>
              <w:snapToGrid w:val="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18584-2001；</w:t>
            </w:r>
          </w:p>
          <w:p>
            <w:pPr>
              <w:adjustRightInd w:val="0"/>
              <w:snapToGrid w:val="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28481-2012</w:t>
            </w:r>
          </w:p>
        </w:tc>
        <w:tc>
          <w:tcPr>
            <w:tcW w:w="1110" w:type="dxa"/>
            <w:noWrap w:val="0"/>
            <w:vAlign w:val="center"/>
          </w:tcPr>
          <w:p>
            <w:pPr>
              <w:adjustRightInd w:val="0"/>
              <w:snapToGrid w:val="0"/>
              <w:spacing w:line="360" w:lineRule="auto"/>
              <w:jc w:val="center"/>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adjustRightInd w:val="0"/>
              <w:snapToGrid w:val="0"/>
              <w:spacing w:line="360" w:lineRule="auto"/>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both"/>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20190076-Q-339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家具结构安全技术规范</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本文件规定了家具结构的通用安全要求及特定产品结构安全要求。</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本文件适用于婴幼儿及儿童家具以外的家具。</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22792.2-2008；</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26172.1-2010；</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24820-2009；</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24977-2010；</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24430.1-2009；</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28008-2011；</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28478-2012</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20190077-Q-339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婴幼儿及儿童家具安全技术规范</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本文件规定了婴幼儿家具及儿童家具通用安全要求及其特定产品安全要求。</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本文件适用于婴幼儿家具和儿童家具。</w:t>
            </w:r>
          </w:p>
        </w:tc>
        <w:tc>
          <w:tcPr>
            <w:tcW w:w="1920" w:type="dxa"/>
            <w:noWrap w:val="0"/>
            <w:vAlign w:val="top"/>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22793.1-2008；</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24430.1-2009；</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28007-2011；</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QB 2453.1-1999</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20190066-Q-339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自行车安全要求 第2部分：城市和旅行用自行车、青少年自行车、山地自行车与竞赛自行车的要求</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本文件规定了各种鞍座高度的自行车及其零部件在设计、装配和试验方面的安全和性能要求，同时为制造商编制自行车使用和保养方面的操作说明给出了技术指南。</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本文件适用于鞍座最大高度大于等于635 mm且小于750 mm的青少年自行车，鞍座最大高度大于等于635 mm的城市和旅行用自行车、山地自行车与竞赛自行车，包括折叠自行车。共享自行车为城市和旅行用自行车的一种型式。</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本文件不适用于特殊类型的自行车，例如：送货自行车、斜躺式自行车、串列自行车、小轮竞技自行车以及设计和装配用于苛刻条件下骑行的自行车，如经批准的比赛、表演或特技类的自行车。</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3565-2005</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ISO 4210-2:2015 MOD</w:t>
            </w: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20141805-Q-607</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电动自行车电气安全要求</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本文件规定了电动自行车电气安全的标识、警示语、布线、导线、连接、电压、绝缘电阻、电气强度、发热、防护、耐温与耐湿、振动与冲击的要求和试验方法。</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本文件适用于QB/T 1714所界定的助力自行车所包含的电动车辆。</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20081952-Q-607</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耐热玻璃器具的安全与卫生要求</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本文件规定了耐热玻璃器具的术语和定义、技术要求、试验方法。</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本文件适用于各种耐热玻璃器具的安全与卫生要求。</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GB17762-1999</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20183375-Q-339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便携式电子产品用锂离子电池和电池组 安全技术规范</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本文件规定了便携式电子产品用锂离子电池和电池组的安全技术规范。</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本文件适用于便携式电子产品用的锂离子电池和电池组（以下简称为电池和电池组），属于本文件范围内的便携式电子产品示例如下：</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a）便携式办公产品：笔记本电脑、平板电脑等；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b）移动通信产品：手机、无绳电话、对讲机等；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c）便携式音/视频产品：便携式电视机、便携式音/视频播放器、照相机、摄像机、录音笔、蓝牙耳机、便携式音箱等；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d）其他便携式产品：电子导航器、数码相框、游戏机、电子书、移动电源、便携式储能电源、便携式投影仪、可穿戴设备等。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上述所列举的便携式电子产品并未包括所有的产品，因此未列出的产品并不一定不在本文件的范围内。</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对于在车辆、船舶、飞机上等特定场合使用，以及对于医疗、采矿、海底作业等特殊领域使用的便携式电子产品用锂离子电池或电池组可能会有附加要求。本文件不适用于电子烟用锂离子电池和电池组。</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31241-2014</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批准发布后6个月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1561"/>
    <w:multiLevelType w:val="singleLevel"/>
    <w:tmpl w:val="858E156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05B07"/>
    <w:rsid w:val="06545CC4"/>
    <w:rsid w:val="07BD5B57"/>
    <w:rsid w:val="0E750457"/>
    <w:rsid w:val="15394183"/>
    <w:rsid w:val="15DC0E94"/>
    <w:rsid w:val="1AAB7572"/>
    <w:rsid w:val="1D370132"/>
    <w:rsid w:val="22A47729"/>
    <w:rsid w:val="2A5A49B0"/>
    <w:rsid w:val="32FF456E"/>
    <w:rsid w:val="379E31C6"/>
    <w:rsid w:val="38206F46"/>
    <w:rsid w:val="3B033A93"/>
    <w:rsid w:val="3CD84BBA"/>
    <w:rsid w:val="429C0D29"/>
    <w:rsid w:val="47E8435B"/>
    <w:rsid w:val="4EB9772A"/>
    <w:rsid w:val="50816D57"/>
    <w:rsid w:val="54876E9E"/>
    <w:rsid w:val="5B205B07"/>
    <w:rsid w:val="5E1F5481"/>
    <w:rsid w:val="652345B2"/>
    <w:rsid w:val="74D05825"/>
    <w:rsid w:val="7658479D"/>
    <w:rsid w:val="77D24906"/>
    <w:rsid w:val="7BBA1ED7"/>
    <w:rsid w:val="7DC13FFD"/>
    <w:rsid w:val="7F594483"/>
    <w:rsid w:val="BFEA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2021-06-03T09:58:00Z</dcterms:created>
  <dc:creator>HGB-BZ-01</dc:creator>
  <cp:lastModifiedBy>kylin</cp:lastModifiedBy>
  <dcterms:modified xsi:type="dcterms:W3CDTF">2022-05-07T14:39:42Z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